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bookmarkStart w:id="0" w:name="_GoBack"/>
      <w:r>
        <w:rPr>
          <w:rFonts w:hint="eastAsia" w:ascii="方正小标宋简体" w:hAnsi="方正小标宋简体" w:eastAsia="方正小标宋简体" w:cs="方正小标宋简体"/>
          <w:sz w:val="44"/>
          <w:szCs w:val="44"/>
          <w:lang w:val="en-US" w:eastAsia="zh-CN"/>
        </w:rPr>
        <w:t>东营区中心医院简介</w:t>
      </w:r>
    </w:p>
    <w:bookmarkEnd w:id="0"/>
    <w:p>
      <w:pPr>
        <w:ind w:firstLine="640" w:firstLineChars="200"/>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东营市东营区中心医院医院坐落在黄河尾闾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渤海之滨的东营区德州路150号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于</w:t>
      </w:r>
      <w:r>
        <w:rPr>
          <w:rFonts w:hint="eastAsia" w:ascii="仿宋_GB2312" w:hAnsi="仿宋_GB2312" w:eastAsia="仿宋_GB2312" w:cs="仿宋_GB2312"/>
          <w:sz w:val="32"/>
          <w:szCs w:val="32"/>
        </w:rPr>
        <w:t>2021年9月17日挂牌成立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由1965年创建的</w:t>
      </w:r>
      <w:r>
        <w:rPr>
          <w:rFonts w:hint="eastAsia" w:ascii="仿宋_GB2312" w:hAnsi="仿宋_GB2312" w:eastAsia="仿宋_GB2312" w:cs="仿宋_GB2312"/>
          <w:sz w:val="32"/>
          <w:szCs w:val="32"/>
        </w:rPr>
        <w:t>胜北医院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胜采医院、肛肠病</w:t>
      </w:r>
      <w:r>
        <w:rPr>
          <w:rFonts w:hint="eastAsia" w:ascii="仿宋_GB2312" w:hAnsi="仿宋_GB2312" w:eastAsia="仿宋_GB2312" w:cs="仿宋_GB2312"/>
          <w:sz w:val="32"/>
          <w:szCs w:val="32"/>
          <w:lang w:val="en-US" w:eastAsia="zh-CN"/>
        </w:rPr>
        <w:t>防治院</w:t>
      </w:r>
      <w:r>
        <w:rPr>
          <w:rFonts w:hint="eastAsia" w:ascii="仿宋_GB2312" w:hAnsi="仿宋_GB2312" w:eastAsia="仿宋_GB2312" w:cs="仿宋_GB2312"/>
          <w:sz w:val="32"/>
          <w:szCs w:val="32"/>
        </w:rPr>
        <w:t>、油建社区卫生服务中心</w:t>
      </w:r>
      <w:r>
        <w:rPr>
          <w:rFonts w:hint="eastAsia" w:ascii="仿宋_GB2312" w:hAnsi="仿宋_GB2312" w:eastAsia="仿宋_GB2312" w:cs="仿宋_GB2312"/>
          <w:sz w:val="32"/>
          <w:szCs w:val="32"/>
          <w:lang w:val="en-US" w:eastAsia="zh-CN"/>
        </w:rPr>
        <w:t>四家医疗机构整合而成，</w:t>
      </w:r>
      <w:r>
        <w:rPr>
          <w:rFonts w:hint="eastAsia" w:ascii="仿宋_GB2312" w:hAnsi="仿宋_GB2312" w:eastAsia="仿宋_GB2312" w:cs="仿宋_GB2312"/>
          <w:sz w:val="32"/>
          <w:szCs w:val="32"/>
        </w:rPr>
        <w:t>逐步形成</w:t>
      </w:r>
      <w:r>
        <w:rPr>
          <w:rFonts w:hint="eastAsia"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rPr>
        <w:t>一所集医疗、教学、科研、康复、预防保健于一体的综合性二级甲等医院。主要担负着辖区内油田职工、家属以及周边县区居民的医疗保健任务。1995年11月被山东省卫生厅评为二级甲等医院，2012年、2017年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2020年三</w:t>
      </w:r>
      <w:r>
        <w:rPr>
          <w:rFonts w:hint="eastAsia" w:ascii="仿宋_GB2312" w:hAnsi="仿宋_GB2312" w:eastAsia="仿宋_GB2312" w:cs="仿宋_GB2312"/>
          <w:sz w:val="32"/>
          <w:szCs w:val="32"/>
        </w:rPr>
        <w:t>次通过“二甲”复审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1995年1月，医院被世界卫生组织命名为爱婴医院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1996年经管理局批准成立胜利油田康复医院，1998年经管理局批准成立口腔病防治所。2005年5月12日挂牌道路交通事故伤员急救中心，担负着北二路至垦利区，东安至胜坨的意外损伤和道理交通事故的120急救任务。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32"/>
          <w:szCs w:val="32"/>
        </w:rPr>
      </w:pPr>
      <w:r>
        <w:rPr>
          <w:rFonts w:ascii="宋体" w:hAnsi="宋体" w:eastAsia="宋体" w:cs="宋体"/>
          <w:kern w:val="0"/>
          <w:sz w:val="24"/>
          <w:szCs w:val="24"/>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150495</wp:posOffset>
            </wp:positionV>
            <wp:extent cx="5448300" cy="2481580"/>
            <wp:effectExtent l="0" t="0" r="0" b="13970"/>
            <wp:wrapSquare wrapText="bothSides"/>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
                    <a:stretch>
                      <a:fillRect/>
                    </a:stretch>
                  </pic:blipFill>
                  <pic:spPr>
                    <a:xfrm>
                      <a:off x="0" y="0"/>
                      <a:ext cx="5448300" cy="248158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东营区中心医院</w:t>
      </w:r>
      <w:r>
        <w:rPr>
          <w:rFonts w:hint="eastAsia" w:ascii="仿宋_GB2312" w:hAnsi="仿宋_GB2312" w:eastAsia="仿宋_GB2312" w:cs="仿宋_GB2312"/>
          <w:sz w:val="32"/>
          <w:szCs w:val="32"/>
        </w:rPr>
        <w:t>与中国中医科学院广安门医院、胜利油田中心医院具有</w:t>
      </w:r>
      <w:r>
        <w:rPr>
          <w:rFonts w:hint="eastAsia" w:ascii="仿宋_GB2312" w:hAnsi="仿宋_GB2312" w:eastAsia="仿宋_GB2312" w:cs="仿宋_GB2312"/>
          <w:sz w:val="32"/>
          <w:szCs w:val="32"/>
          <w:lang w:val="en-US" w:eastAsia="zh-CN"/>
        </w:rPr>
        <w:t>深度</w:t>
      </w:r>
      <w:r>
        <w:rPr>
          <w:rFonts w:hint="eastAsia" w:ascii="仿宋_GB2312" w:hAnsi="仿宋_GB2312" w:eastAsia="仿宋_GB2312" w:cs="仿宋_GB2312"/>
          <w:sz w:val="32"/>
          <w:szCs w:val="32"/>
        </w:rPr>
        <w:t>合作关系。为东营区卫生健康局所属公益二类事业单位，核定人员总量控制750名，设床位499张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医院下辖胜采、井下、油建三个院区。总建筑面积4.5万</w:t>
      </w:r>
      <w:r>
        <w:rPr>
          <w:rFonts w:hint="eastAsia" w:ascii="仿宋_GB2312" w:hAnsi="仿宋_GB2312" w:eastAsia="仿宋_GB2312" w:cs="仿宋_GB2312"/>
          <w:sz w:val="32"/>
          <w:szCs w:val="32"/>
        </w:rPr>
        <w:t>平方米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设</w:t>
      </w:r>
      <w:r>
        <w:rPr>
          <w:rFonts w:hint="eastAsia" w:ascii="仿宋_GB2312" w:hAnsi="仿宋_GB2312" w:eastAsia="仿宋_GB2312" w:cs="仿宋_GB2312"/>
          <w:color w:val="000000" w:themeColor="text1"/>
          <w:sz w:val="32"/>
          <w:szCs w:val="32"/>
          <w14:textFill>
            <w14:solidFill>
              <w14:schemeClr w14:val="tx1"/>
            </w14:solidFill>
          </w14:textFill>
        </w:rPr>
        <w:t>内科、外科、肛肠科、儿科、妇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w:t>
      </w:r>
      <w:r>
        <w:rPr>
          <w:rFonts w:hint="eastAsia" w:ascii="仿宋_GB2312" w:hAnsi="仿宋_GB2312" w:eastAsia="仿宋_GB2312" w:cs="仿宋_GB2312"/>
          <w:color w:val="000000" w:themeColor="text1"/>
          <w:sz w:val="32"/>
          <w:szCs w:val="32"/>
          <w14:textFill>
            <w14:solidFill>
              <w14:schemeClr w14:val="tx1"/>
            </w14:solidFill>
          </w14:textFill>
        </w:rPr>
        <w:t>科、耳鼻喉科、口腔科、康复医学科、中医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理疗</w:t>
      </w:r>
      <w:r>
        <w:rPr>
          <w:rFonts w:hint="eastAsia" w:ascii="仿宋_GB2312" w:hAnsi="仿宋_GB2312" w:eastAsia="仿宋_GB2312" w:cs="仿宋_GB2312"/>
          <w:color w:val="000000" w:themeColor="text1"/>
          <w:sz w:val="32"/>
          <w:szCs w:val="32"/>
          <w14:textFill>
            <w14:solidFill>
              <w14:schemeClr w14:val="tx1"/>
            </w14:solidFill>
          </w14:textFill>
        </w:rPr>
        <w:t>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家庭病房</w:t>
      </w:r>
      <w:r>
        <w:rPr>
          <w:rFonts w:hint="eastAsia" w:ascii="仿宋_GB2312" w:hAnsi="仿宋_GB2312" w:eastAsia="仿宋_GB2312" w:cs="仿宋_GB2312"/>
          <w:color w:val="000000" w:themeColor="text1"/>
          <w:sz w:val="32"/>
          <w:szCs w:val="32"/>
          <w14:textFill>
            <w14:solidFill>
              <w14:schemeClr w14:val="tx1"/>
            </w14:solidFill>
          </w14:textFill>
        </w:rPr>
        <w:t>、健康体检科、介入治疗科、血液透析室、消化内镜室</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等</w:t>
      </w:r>
      <w:r>
        <w:rPr>
          <w:rFonts w:hint="eastAsia" w:ascii="仿宋_GB2312" w:hAnsi="仿宋_GB2312" w:eastAsia="仿宋_GB2312" w:cs="仿宋_GB2312"/>
          <w:sz w:val="32"/>
          <w:szCs w:val="32"/>
        </w:rPr>
        <w:t>临床医技机构2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w:t>
      </w:r>
      <w:r>
        <w:rPr>
          <w:rFonts w:hint="eastAsia" w:ascii="仿宋_GB2312" w:hAnsi="仿宋_GB2312" w:eastAsia="仿宋_GB2312" w:cs="仿宋_GB2312"/>
          <w:color w:val="000000" w:themeColor="text1"/>
          <w:sz w:val="32"/>
          <w:szCs w:val="32"/>
          <w14:textFill>
            <w14:solidFill>
              <w14:schemeClr w14:val="tx1"/>
            </w14:solidFill>
          </w14:textFill>
        </w:rPr>
        <w:t>。配备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有</w:t>
      </w:r>
      <w:r>
        <w:rPr>
          <w:rFonts w:hint="eastAsia" w:ascii="仿宋_GB2312" w:hAnsi="仿宋_GB2312" w:eastAsia="仿宋_GB2312" w:cs="仿宋_GB2312"/>
          <w:color w:val="000000" w:themeColor="text1"/>
          <w:sz w:val="32"/>
          <w:szCs w:val="32"/>
          <w14:textFill>
            <w14:solidFill>
              <w14:schemeClr w14:val="tx1"/>
            </w14:solidFill>
          </w14:textFill>
        </w:rPr>
        <w:t>数字减影系统（DSA）、</w:t>
      </w:r>
      <w:r>
        <w:rPr>
          <w:rFonts w:hint="eastAsia" w:ascii="仿宋_GB2312" w:hAnsi="仿宋_GB2312" w:eastAsia="仿宋_GB2312" w:cs="仿宋_GB2312"/>
          <w:sz w:val="32"/>
          <w:szCs w:val="32"/>
        </w:rPr>
        <w:t>Aquilion64排螺旋CT、联影40排CT、方舱CT、DR机、车载DR体检车、直接数字乳腺X线机、四维彩色B超、经颅多普勒检测仪、电子胃肠镜、纤维12指肠镜、多参数心电监护仪、口腔CT/口腔综合治疗机、心电监护系统、呼吸机等</w:t>
      </w:r>
      <w:r>
        <w:rPr>
          <w:rFonts w:hint="eastAsia" w:ascii="仿宋_GB2312" w:hAnsi="仿宋_GB2312" w:eastAsia="仿宋_GB2312" w:cs="仿宋_GB2312"/>
          <w:sz w:val="32"/>
          <w:szCs w:val="32"/>
          <w:lang w:val="en-US" w:eastAsia="zh-CN"/>
        </w:rPr>
        <w:t>先进</w:t>
      </w:r>
      <w:r>
        <w:rPr>
          <w:rFonts w:hint="eastAsia" w:ascii="仿宋_GB2312" w:hAnsi="仿宋_GB2312" w:eastAsia="仿宋_GB2312" w:cs="仿宋_GB2312"/>
          <w:sz w:val="32"/>
          <w:szCs w:val="32"/>
        </w:rPr>
        <w:t>医疗设备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能够较好的满足周边群众就诊需求</w:t>
      </w:r>
      <w:r>
        <w:rPr>
          <w:rFonts w:hint="eastAsia" w:ascii="仿宋_GB2312" w:hAnsi="仿宋_GB2312" w:eastAsia="仿宋_GB2312" w:cs="仿宋_GB2312"/>
          <w:sz w:val="32"/>
          <w:szCs w:val="32"/>
        </w:rPr>
        <w:t xml:space="preserve">。 </w:t>
      </w:r>
    </w:p>
    <w:p>
      <w:pPr>
        <w:keepNext w:val="0"/>
        <w:keepLines w:val="0"/>
        <w:widowControl/>
        <w:suppressLineNumbers w:val="0"/>
        <w:jc w:val="left"/>
      </w:pPr>
      <w:r>
        <w:rPr>
          <w:rFonts w:hint="eastAsia" w:ascii="仿宋_GB2312" w:eastAsia="仿宋_GB2312" w:cs="仿宋_GB2312"/>
          <w:color w:val="222222"/>
          <w:spacing w:val="8"/>
          <w:sz w:val="32"/>
          <w:szCs w:val="32"/>
          <w:shd w:val="clear" w:fill="FFFFFF"/>
        </w:rPr>
        <w:drawing>
          <wp:inline distT="0" distB="0" distL="114300" distR="114300">
            <wp:extent cx="2393315" cy="1630045"/>
            <wp:effectExtent l="0" t="0" r="6985" b="8255"/>
            <wp:docPr id="2" name="图片 2" descr="LY2A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Y2A9203"/>
                    <pic:cNvPicPr>
                      <a:picLocks noChangeAspect="1"/>
                    </pic:cNvPicPr>
                  </pic:nvPicPr>
                  <pic:blipFill>
                    <a:blip r:embed="rId5"/>
                    <a:stretch>
                      <a:fillRect/>
                    </a:stretch>
                  </pic:blipFill>
                  <pic:spPr>
                    <a:xfrm>
                      <a:off x="0" y="0"/>
                      <a:ext cx="2393315" cy="1630045"/>
                    </a:xfrm>
                    <a:prstGeom prst="rect">
                      <a:avLst/>
                    </a:prstGeom>
                  </pic:spPr>
                </pic:pic>
              </a:graphicData>
            </a:graphic>
          </wp:inline>
        </w:drawing>
      </w:r>
      <w:r>
        <w:rPr>
          <w:rFonts w:ascii="宋体" w:hAnsi="宋体" w:eastAsia="宋体" w:cs="宋体"/>
          <w:kern w:val="0"/>
          <w:sz w:val="24"/>
          <w:szCs w:val="24"/>
          <w:lang w:val="en-US" w:eastAsia="zh-CN" w:bidi="ar"/>
        </w:rPr>
        <w:drawing>
          <wp:inline distT="0" distB="0" distL="114300" distR="114300">
            <wp:extent cx="2423160" cy="1668780"/>
            <wp:effectExtent l="0" t="0" r="15240" b="762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tretch>
                      <a:fillRect/>
                    </a:stretch>
                  </pic:blipFill>
                  <pic:spPr>
                    <a:xfrm>
                      <a:off x="0" y="0"/>
                      <a:ext cx="2423160" cy="166878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423795" cy="1715135"/>
            <wp:effectExtent l="0" t="0" r="14605" b="1841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7"/>
                    <a:stretch>
                      <a:fillRect/>
                    </a:stretch>
                  </pic:blipFill>
                  <pic:spPr>
                    <a:xfrm>
                      <a:off x="0" y="0"/>
                      <a:ext cx="2423795" cy="17151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416810" cy="1729105"/>
            <wp:effectExtent l="0" t="0" r="2540" b="444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8"/>
                    <a:stretch>
                      <a:fillRect/>
                    </a:stretch>
                  </pic:blipFill>
                  <pic:spPr>
                    <a:xfrm>
                      <a:off x="0" y="0"/>
                      <a:ext cx="2416810" cy="1729105"/>
                    </a:xfrm>
                    <a:prstGeom prst="rect">
                      <a:avLst/>
                    </a:prstGeom>
                    <a:noFill/>
                    <a:ln w="9525">
                      <a:noFill/>
                    </a:ln>
                  </pic:spPr>
                </pic:pic>
              </a:graphicData>
            </a:graphic>
          </wp:inline>
        </w:drawing>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医院</w:t>
      </w:r>
      <w:r>
        <w:rPr>
          <w:rFonts w:hint="eastAsia" w:ascii="仿宋_GB2312" w:hAnsi="仿宋_GB2312" w:eastAsia="仿宋_GB2312" w:cs="仿宋_GB2312"/>
          <w:sz w:val="32"/>
          <w:szCs w:val="32"/>
          <w:lang w:val="en-US" w:eastAsia="zh-CN"/>
        </w:rPr>
        <w:t>突出</w:t>
      </w:r>
      <w:r>
        <w:rPr>
          <w:rFonts w:hint="eastAsia" w:ascii="仿宋_GB2312" w:hAnsi="仿宋_GB2312" w:eastAsia="仿宋_GB2312" w:cs="仿宋_GB2312"/>
          <w:sz w:val="32"/>
          <w:szCs w:val="32"/>
        </w:rPr>
        <w:t>“大专科、小综合”</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总体</w:t>
      </w:r>
      <w:r>
        <w:rPr>
          <w:rFonts w:hint="eastAsia" w:ascii="仿宋_GB2312" w:hAnsi="仿宋_GB2312" w:eastAsia="仿宋_GB2312" w:cs="仿宋_GB2312"/>
          <w:sz w:val="32"/>
          <w:szCs w:val="32"/>
          <w:lang w:val="en-US" w:eastAsia="zh-CN"/>
        </w:rPr>
        <w:t>建设</w:t>
      </w:r>
      <w:r>
        <w:rPr>
          <w:rFonts w:hint="eastAsia" w:ascii="仿宋_GB2312" w:hAnsi="仿宋_GB2312" w:eastAsia="仿宋_GB2312" w:cs="仿宋_GB2312"/>
          <w:sz w:val="32"/>
          <w:szCs w:val="32"/>
        </w:rPr>
        <w:t>目标。重点突出口腔学科、中医肿瘤学科、康复</w:t>
      </w:r>
      <w:r>
        <w:rPr>
          <w:rFonts w:hint="eastAsia" w:ascii="仿宋_GB2312" w:hAnsi="仿宋_GB2312" w:eastAsia="仿宋_GB2312" w:cs="仿宋_GB2312"/>
          <w:sz w:val="32"/>
          <w:szCs w:val="32"/>
          <w:lang w:val="en-US" w:eastAsia="zh-CN"/>
        </w:rPr>
        <w:t>医</w:t>
      </w:r>
      <w:r>
        <w:rPr>
          <w:rFonts w:hint="eastAsia" w:ascii="仿宋_GB2312" w:hAnsi="仿宋_GB2312" w:eastAsia="仿宋_GB2312" w:cs="仿宋_GB2312"/>
          <w:sz w:val="32"/>
          <w:szCs w:val="32"/>
        </w:rPr>
        <w:t>学科、肛肠专科</w:t>
      </w:r>
      <w:r>
        <w:rPr>
          <w:rFonts w:hint="eastAsia" w:ascii="仿宋_GB2312" w:hAnsi="仿宋_GB2312" w:eastAsia="仿宋_GB2312" w:cs="仿宋_GB2312"/>
          <w:sz w:val="32"/>
          <w:szCs w:val="32"/>
          <w:lang w:val="en-US" w:eastAsia="zh-CN"/>
        </w:rPr>
        <w:t>等优势特色专科</w:t>
      </w:r>
      <w:r>
        <w:rPr>
          <w:rFonts w:hint="eastAsia" w:ascii="仿宋_GB2312" w:hAnsi="仿宋_GB2312" w:eastAsia="仿宋_GB2312" w:cs="仿宋_GB2312"/>
          <w:sz w:val="32"/>
          <w:szCs w:val="32"/>
        </w:rPr>
        <w:t>；全面发展内、外、妇、儿、中医等多种学科。同时，延伸“医、康、养”相结合模式，打造一所集医疗、康复、养老、长护、安宁疗护“五位一体”的优质综合医院。</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480" w:firstLineChars="200"/>
        <w:jc w:val="left"/>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firstLine="640" w:firstLineChars="200"/>
        <w:jc w:val="left"/>
        <w:textAlignment w:val="auto"/>
      </w:pPr>
      <w:r>
        <w:rPr>
          <w:rFonts w:ascii="仿宋_GB2312" w:eastAsia="仿宋_GB2312" w:cs="仿宋_GB2312"/>
          <w:sz w:val="32"/>
          <w:szCs w:val="32"/>
        </w:rPr>
        <w:t>根据东营区关于加快推动西城高品质现代化城市建设指导意见提出的“着力打造北拓、中优、南扩的城市空间布局的构想，“北拓”将使东营区中心医院进入前所未有的发展机遇期。2022年，区政府计划投资</w:t>
      </w:r>
      <w:r>
        <w:rPr>
          <w:rFonts w:hint="eastAsia" w:ascii="仿宋_GB2312" w:eastAsia="仿宋_GB2312" w:cs="仿宋_GB2312"/>
          <w:sz w:val="32"/>
          <w:szCs w:val="32"/>
          <w:lang w:val="en-US" w:eastAsia="zh-CN"/>
        </w:rPr>
        <w:t>4</w:t>
      </w:r>
      <w:r>
        <w:rPr>
          <w:rFonts w:ascii="仿宋_GB2312" w:eastAsia="仿宋_GB2312" w:cs="仿宋_GB2312"/>
          <w:sz w:val="32"/>
          <w:szCs w:val="32"/>
        </w:rPr>
        <w:t>亿元，利用2年左右时间，建设建筑面积3.6万平方米的门诊病房楼，进行老院区改造提升，以及医疗设备和信息化更新。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0288" behindDoc="0" locked="0" layoutInCell="1" allowOverlap="1">
            <wp:simplePos x="0" y="0"/>
            <wp:positionH relativeFrom="column">
              <wp:posOffset>-693420</wp:posOffset>
            </wp:positionH>
            <wp:positionV relativeFrom="paragraph">
              <wp:posOffset>869950</wp:posOffset>
            </wp:positionV>
            <wp:extent cx="6633845" cy="2274570"/>
            <wp:effectExtent l="0" t="0" r="14605" b="11430"/>
            <wp:wrapSquare wrapText="bothSides"/>
            <wp:docPr id="1" name="图片 1" descr="fef0267853838e0b1c0799dd893d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ef0267853838e0b1c0799dd893dc38"/>
                    <pic:cNvPicPr>
                      <a:picLocks noChangeAspect="1"/>
                    </pic:cNvPicPr>
                  </pic:nvPicPr>
                  <pic:blipFill>
                    <a:blip r:embed="rId9"/>
                    <a:stretch>
                      <a:fillRect/>
                    </a:stretch>
                  </pic:blipFill>
                  <pic:spPr>
                    <a:xfrm>
                      <a:off x="0" y="0"/>
                      <a:ext cx="6633845" cy="227457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xYzk1Nzk2NjkyMWJmYzUxZmRiZjBkZDI1ZmE1OTQifQ=="/>
  </w:docVars>
  <w:rsids>
    <w:rsidRoot w:val="00000000"/>
    <w:rsid w:val="01BC58DB"/>
    <w:rsid w:val="01DB5508"/>
    <w:rsid w:val="038E5818"/>
    <w:rsid w:val="16FC0014"/>
    <w:rsid w:val="2BB7686A"/>
    <w:rsid w:val="352819D2"/>
    <w:rsid w:val="3ACB2743"/>
    <w:rsid w:val="3EBB21AF"/>
    <w:rsid w:val="58D75659"/>
    <w:rsid w:val="68800071"/>
    <w:rsid w:val="733A29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905</Words>
  <Characters>974</Characters>
  <Lines>0</Lines>
  <Paragraphs>0</Paragraphs>
  <TotalTime>8</TotalTime>
  <ScaleCrop>false</ScaleCrop>
  <LinksUpToDate>false</LinksUpToDate>
  <CharactersWithSpaces>976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apple</dc:creator>
  <cp:lastModifiedBy>liujx</cp:lastModifiedBy>
  <cp:lastPrinted>2023-03-21T08:58:36Z</cp:lastPrinted>
  <dcterms:modified xsi:type="dcterms:W3CDTF">2023-03-21T08:58:37Z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57C15864DAAD44519B7D5BB917D6A17F</vt:lpwstr>
  </property>
</Properties>
</file>